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pPr>
    </w:p>
    <w:p>
      <w:pPr>
        <w:jc w:val="center"/>
      </w:pPr>
      <w:r>
        <w:rPr>
          <w:b/>
          <w:bCs/>
          <w:color w:val="666666"/>
          <w:sz w:val="28"/>
          <w:szCs w:val="28"/>
        </w:rPr>
        <w:t xml:space="preserve">EQUITY RESEARCH REPORT</w:t>
      </w:r>
    </w:p>
    <w:p>
      <w:pPr>
        <w:spacing w:after="400"/>
      </w:pPr>
    </w:p>
    <w:p>
      <w:pPr>
        <w:jc w:val="center"/>
      </w:pPr>
      <w:r>
        <w:rPr>
          <w:b/>
          <w:bCs/>
          <w:color w:val="1F4E79"/>
          <w:sz w:val="56"/>
          <w:szCs w:val="56"/>
        </w:rPr>
        <w:t xml:space="preserve">Cipher Mining Inc.</w:t>
      </w:r>
    </w:p>
    <w:p>
      <w:pPr>
        <w:jc w:val="center"/>
      </w:pPr>
      <w:r>
        <w:rPr>
          <w:b/>
          <w:bCs/>
          <w:color w:val="2E75B6"/>
          <w:sz w:val="32"/>
          <w:szCs w:val="32"/>
        </w:rPr>
        <w:t xml:space="preserve">NASDAQ: CIFR</w:t>
      </w:r>
    </w:p>
    <w:p>
      <w:pPr>
        <w:spacing w:after="600"/>
      </w:pPr>
    </w:p>
    <w:p>
      <w:pPr>
        <w:jc w:val="center"/>
      </w:pPr>
      <w:r>
        <w:rPr>
          <w:sz w:val="28"/>
          <w:szCs w:val="28"/>
        </w:rPr>
        <w:t xml:space="preserve">From Bitcoin Miner to AI Infrastructure Leader:</w:t>
      </w:r>
    </w:p>
    <w:p>
      <w:pPr>
        <w:jc w:val="center"/>
      </w:pPr>
      <w:r>
        <w:rPr>
          <w:sz w:val="28"/>
          <w:szCs w:val="28"/>
        </w:rPr>
        <w:t xml:space="preserve">A Comprehensive Valuation Analysis</w:t>
      </w:r>
    </w:p>
    <w:p>
      <w:pPr>
        <w:spacing w:after="8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bCs/>
                <w:sz w:val="20"/>
                <w:szCs w:val="20"/>
              </w:rPr>
              <w:t xml:space="preserve">Current Price: $18.16</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bCs/>
                <w:sz w:val="20"/>
                <w:szCs w:val="20"/>
              </w:rPr>
              <w:t xml:space="preserve">Market Cap: $7.2B</w:t>
            </w:r>
          </w:p>
        </w:tc>
        <w:tc>
          <w:tcPr>
            <w:tcBorders>
              <w:top w:val="single" w:color="CCCCCC" w:sz="1"/>
              <w:left w:val="single" w:color="CCCCCC" w:sz="1"/>
              <w:bottom w:val="single" w:color="CCCCCC" w:sz="1"/>
              <w:right w:val="single" w:color="CCCCCC" w:sz="1"/>
            </w:tcBorders>
            <w:shd w:fill="C6EFCE" w:val="clear"/>
            <w:tcMar>
              <w:top w:type="dxa" w:w="60"/>
              <w:left w:type="dxa" w:w="100"/>
              <w:bottom w:type="dxa" w:w="60"/>
              <w:right w:type="dxa" w:w="100"/>
            </w:tcMar>
          </w:tcPr>
          <w:p>
            <w:pPr>
              <w:jc w:val="left"/>
            </w:pPr>
            <w:r>
              <w:rPr>
                <w:rFonts w:ascii="Arial" w:cs="Arial" w:eastAsia="Arial" w:hAnsi="Arial"/>
                <w:b/>
                <w:bCs/>
                <w:sz w:val="20"/>
                <w:szCs w:val="20"/>
              </w:rPr>
              <w:t xml:space="preserve">Rating: SPECULATIVE BUY</w:t>
            </w:r>
          </w:p>
        </w:tc>
      </w:tr>
      <w:tr>
        <w:tc>
          <w:tcPr>
            <w:tcBorders>
              <w:top w:val="single" w:color="CCCCCC" w:sz="1"/>
              <w:left w:val="single" w:color="CCCCCC" w:sz="1"/>
              <w:bottom w:val="single" w:color="CCCCCC" w:sz="1"/>
              <w:right w:val="single" w:color="CCCCCC" w:sz="1"/>
            </w:tcBorders>
            <w:shd w:fill="FFF2CC"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Base Case Target: $60-80</w:t>
            </w:r>
          </w:p>
        </w:tc>
        <w:tc>
          <w:tcPr>
            <w:tcBorders>
              <w:top w:val="single" w:color="CCCCCC" w:sz="1"/>
              <w:left w:val="single" w:color="CCCCCC" w:sz="1"/>
              <w:bottom w:val="single" w:color="CCCCCC" w:sz="1"/>
              <w:right w:val="single" w:color="CCCCCC" w:sz="1"/>
            </w:tcBorders>
            <w:shd w:fill="FFF2CC"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Bull Case Target: $120-150</w:t>
            </w:r>
          </w:p>
        </w:tc>
        <w:tc>
          <w:tcPr>
            <w:tcBorders>
              <w:top w:val="single" w:color="CCCCCC" w:sz="1"/>
              <w:left w:val="single" w:color="CCCCCC" w:sz="1"/>
              <w:bottom w:val="single" w:color="CCCCCC" w:sz="1"/>
              <w:right w:val="single" w:color="CCCCCC" w:sz="1"/>
            </w:tcBorders>
            <w:shd w:fill="FFF2CC"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Bear Case Target: $35-45</w:t>
            </w:r>
          </w:p>
        </w:tc>
      </w:tr>
    </w:tbl>
    <w:p>
      <w:pPr>
        <w:spacing w:after="600"/>
      </w:pPr>
    </w:p>
    <w:p>
      <w:pPr>
        <w:jc w:val="center"/>
      </w:pPr>
      <w:r>
        <w:rPr>
          <w:color w:val="666666"/>
          <w:sz w:val="22"/>
          <w:szCs w:val="22"/>
        </w:rPr>
        <w:t xml:space="preserve">Report Date: January 28, 2026</w:t>
      </w:r>
    </w:p>
    <w:p>
      <w:pPr>
        <w:jc w:val="center"/>
      </w:pPr>
      <w:r>
        <w:rPr>
          <w:color w:val="666666"/>
          <w:sz w:val="22"/>
          <w:szCs w:val="22"/>
        </w:rPr>
        <w:t xml:space="preserve">Analysis Period: 2026-2030</w:t>
      </w:r>
    </w:p>
    <w:p>
      <w:r>
        <w:br w:type="page"/>
      </w:r>
    </w:p>
    <w:p>
      <w:pPr>
        <w:pStyle w:val="Heading1"/>
      </w:pPr>
      <w:r>
        <w:t xml:space="preserve">Table of Contents</w:t>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Executive Summary</w:t>
      </w:r>
    </w:p>
    <w:p>
      <w:pPr>
        <w:pStyle w:val="Heading2"/>
      </w:pPr>
      <w:r>
        <w:t xml:space="preserve">Investment Thesis</w:t>
      </w:r>
    </w:p>
    <w:p>
      <w:pPr>
        <w:spacing w:after="200"/>
      </w:pPr>
      <w:r>
        <w:rPr>
          <w:sz w:val="22"/>
          <w:szCs w:val="22"/>
        </w:rPr>
        <w:t xml:space="preserve">Cipher Mining Inc. is executing one of the most significant corporate pivots in the cryptocurrency mining industry, transforming from a pure-play Bitcoin miner into a large-scale AI and high-performance computing (HPC) infrastructure provider. With $8.5 billion in contracted revenue from hyperscaler agreements with Amazon Web Services and Google-backed Fluidstack, CIFR has established itself as a credible player in the rapidly expanding AI data center market.</w:t>
      </w:r>
    </w:p>
    <w:p>
      <w:pPr>
        <w:spacing w:after="200"/>
      </w:pPr>
      <w:r>
        <w:rPr>
          <w:sz w:val="22"/>
          <w:szCs w:val="22"/>
        </w:rPr>
        <w:t xml:space="preserve">This transformation represents a fundamental re-rating opportunity. Unlike volatile Bitcoin mining revenues, CIFR's new business model offers long-duration contracted cash flows with creditworthy counterparties. However, investors must carefully assess execution risk, dilution impact, and competitive dynamics before establishing positions.</w:t>
      </w:r>
    </w:p>
    <w:p>
      <w:pPr>
        <w:pStyle w:val="Heading2"/>
      </w:pPr>
      <w:r>
        <w:t xml:space="preserve">Key Investment Highlights</w:t>
      </w:r>
    </w:p>
    <w:p>
      <w:pPr>
        <w:pStyle w:val="ListParagraph"/>
        <w:numPr>
          <w:ilvl w:val="0"/>
          <w:numId w:val="2"/>
        </w:numPr>
      </w:pPr>
      <w:r>
        <w:rPr>
          <w:sz w:val="22"/>
          <w:szCs w:val="22"/>
        </w:rPr>
        <w:t xml:space="preserve">$8.5B in contracted AI/HPC revenue: AWS 15-year, $5.5B lease + Fluidstack/Google 10-year, $3.8B agreement</w:t>
      </w:r>
    </w:p>
    <w:p>
      <w:pPr>
        <w:pStyle w:val="ListParagraph"/>
        <w:numPr>
          <w:ilvl w:val="0"/>
          <w:numId w:val="2"/>
        </w:numPr>
      </w:pPr>
      <w:r>
        <w:rPr>
          <w:sz w:val="22"/>
          <w:szCs w:val="22"/>
        </w:rPr>
        <w:t xml:space="preserve">3.2 GW development pipeline extending through 2029, positioning CIFR among the largest AI infrastructure developers</w:t>
      </w:r>
    </w:p>
    <w:p>
      <w:pPr>
        <w:pStyle w:val="ListParagraph"/>
        <w:numPr>
          <w:ilvl w:val="0"/>
          <w:numId w:val="2"/>
        </w:numPr>
      </w:pPr>
      <w:r>
        <w:rPr>
          <w:sz w:val="22"/>
          <w:szCs w:val="22"/>
        </w:rPr>
        <w:t xml:space="preserve">Capital-light colocation model: Tenants own GPUs, reducing CIFR's technology obsolescence risk vs. GPU cloud peers</w:t>
      </w:r>
    </w:p>
    <w:p>
      <w:pPr>
        <w:pStyle w:val="ListParagraph"/>
        <w:numPr>
          <w:ilvl w:val="0"/>
          <w:numId w:val="2"/>
        </w:numPr>
      </w:pPr>
      <w:r>
        <w:rPr>
          <w:sz w:val="22"/>
          <w:szCs w:val="22"/>
        </w:rPr>
        <w:t xml:space="preserve">Strong balance sheet: $1.2B cash, $1.3B in 0% convertible notes providing runway for expansion</w:t>
      </w:r>
    </w:p>
    <w:p>
      <w:pPr>
        <w:pStyle w:val="ListParagraph"/>
        <w:numPr>
          <w:ilvl w:val="0"/>
          <w:numId w:val="2"/>
        </w:numPr>
      </w:pPr>
      <w:r>
        <w:rPr>
          <w:sz w:val="22"/>
          <w:szCs w:val="22"/>
        </w:rPr>
        <w:t xml:space="preserve">First-mover advantage in Texas power market with established utility relationships (AEP, ERCOT)</w:t>
      </w:r>
    </w:p>
    <w:p>
      <w:pPr>
        <w:pStyle w:val="Heading2"/>
      </w:pPr>
      <w:r>
        <w:t xml:space="preserve">Key Risks</w:t>
      </w:r>
    </w:p>
    <w:p>
      <w:pPr>
        <w:pStyle w:val="ListParagraph"/>
        <w:numPr>
          <w:ilvl w:val="0"/>
          <w:numId w:val="2"/>
        </w:numPr>
      </w:pPr>
      <w:r>
        <w:rPr>
          <w:sz w:val="22"/>
          <w:szCs w:val="22"/>
        </w:rPr>
        <w:t xml:space="preserve">Execution risk: Construction timelines, energization delays could push revenue recognition beyond 2026</w:t>
      </w:r>
    </w:p>
    <w:p>
      <w:pPr>
        <w:pStyle w:val="ListParagraph"/>
        <w:numPr>
          <w:ilvl w:val="0"/>
          <w:numId w:val="2"/>
        </w:numPr>
      </w:pPr>
      <w:r>
        <w:rPr>
          <w:sz w:val="22"/>
          <w:szCs w:val="22"/>
        </w:rPr>
        <w:t xml:space="preserve">Dilution risk: Significant equity raises likely needed to fund $15B+ buildout through 2030</w:t>
      </w:r>
    </w:p>
    <w:p>
      <w:pPr>
        <w:pStyle w:val="ListParagraph"/>
        <w:numPr>
          <w:ilvl w:val="0"/>
          <w:numId w:val="2"/>
        </w:numPr>
      </w:pPr>
      <w:r>
        <w:rPr>
          <w:sz w:val="22"/>
          <w:szCs w:val="22"/>
        </w:rPr>
        <w:t xml:space="preserve">Competitive risk: Every Bitcoin miner pursuing similar pivot; hyperscalers may vertically integrate</w:t>
      </w:r>
    </w:p>
    <w:p>
      <w:pPr>
        <w:pStyle w:val="ListParagraph"/>
        <w:numPr>
          <w:ilvl w:val="0"/>
          <w:numId w:val="2"/>
        </w:numPr>
      </w:pPr>
      <w:r>
        <w:rPr>
          <w:sz w:val="22"/>
          <w:szCs w:val="22"/>
        </w:rPr>
        <w:t xml:space="preserve">Bitcoin exposure: Legacy mining operations remain ~60% of current revenue, subject to crypto volatility</w:t>
      </w:r>
    </w:p>
    <w:p>
      <w:r>
        <w:br w:type="page"/>
      </w:r>
    </w:p>
    <w:p>
      <w:pPr>
        <w:pStyle w:val="Heading1"/>
      </w:pPr>
      <w:r>
        <w:t xml:space="preserve">Company Overview</w:t>
      </w:r>
    </w:p>
    <w:p>
      <w:pPr>
        <w:pStyle w:val="Heading2"/>
      </w:pPr>
      <w:r>
        <w:t xml:space="preserve">Business Description</w:t>
      </w:r>
    </w:p>
    <w:p>
      <w:pPr>
        <w:spacing w:after="200"/>
      </w:pPr>
      <w:r>
        <w:rPr>
          <w:sz w:val="22"/>
          <w:szCs w:val="22"/>
        </w:rPr>
        <w:t xml:space="preserve">Cipher Mining Inc., founded in 2021 and headquartered in New York, NY, develops and operates industrial-scale data centers for Bitcoin mining and high-performance computing hosting. The company has rapidly evolved from a pure-play cryptocurrency miner to a diversified digital infrastructure provider, leveraging its existing power contracts and Texas-based operations to capture the explosive demand for AI compute capacity.</w:t>
      </w:r>
    </w:p>
    <w:p>
      <w:pPr>
        <w:pStyle w:val="Heading2"/>
      </w:pPr>
      <w:r>
        <w:t xml:space="preserve">Corporate Snapshot</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000"/>
        <w:gridCol w:w="5360"/>
      </w:tblGrid>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Stock Price (Jan 2026)</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$18.16</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Market Capitalization</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$7.2 billion</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Enterprise Value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$6.2 billion</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Shares Outstanding</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395 million (fully diluted)</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52-Week Range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$1.86 - $25.52</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Cash Position</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$1.21 billion</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Total Debt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$1.30 billion (0% convertibles)</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CEO</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Tyler Page</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Employees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43</w:t>
            </w:r>
          </w:p>
        </w:tc>
      </w:tr>
    </w:tbl>
    <w:p>
      <w:pPr>
        <w:pStyle w:val="Heading2"/>
      </w:pPr>
      <w:r>
        <w:t xml:space="preserve">Strategic Transformation Timeline</w:t>
      </w:r>
    </w:p>
    <w:p>
      <w:pPr>
        <w:spacing w:after="200"/>
      </w:pPr>
      <w:r>
        <w:rPr>
          <w:sz w:val="22"/>
          <w:szCs w:val="22"/>
        </w:rPr>
        <w:t xml:space="preserve">Q3 2025 marked a pivotal quarter for Cipher Mining. In a span of weeks, the company executed two landmark transactions that fundamentally altered its growth trajectory:</w:t>
      </w:r>
    </w:p>
    <w:p>
      <w:pPr>
        <w:pStyle w:val="ListParagraph"/>
        <w:numPr>
          <w:ilvl w:val="0"/>
          <w:numId w:val="3"/>
        </w:numPr>
      </w:pPr>
      <w:r>
        <w:rPr>
          <w:sz w:val="22"/>
          <w:szCs w:val="22"/>
        </w:rPr>
        <w:t xml:space="preserve">September 2025: Signed 10-year, $3.0B hosting agreement with Fluidstack (Google-backed) for 168 MW at Barber Lake, Texas</w:t>
      </w:r>
    </w:p>
    <w:p>
      <w:pPr>
        <w:pStyle w:val="ListParagraph"/>
        <w:numPr>
          <w:ilvl w:val="0"/>
          <w:numId w:val="3"/>
        </w:numPr>
      </w:pPr>
      <w:r>
        <w:rPr>
          <w:sz w:val="22"/>
          <w:szCs w:val="22"/>
        </w:rPr>
        <w:t xml:space="preserve">November 2025: Executed 15-year, $5.5B lease with Amazon Web Services for 300 MW of AI workload capacity</w:t>
      </w:r>
    </w:p>
    <w:p>
      <w:pPr>
        <w:pStyle w:val="ListParagraph"/>
        <w:numPr>
          <w:ilvl w:val="0"/>
          <w:numId w:val="3"/>
        </w:numPr>
      </w:pPr>
      <w:r>
        <w:rPr>
          <w:sz w:val="22"/>
          <w:szCs w:val="22"/>
        </w:rPr>
        <w:t xml:space="preserve">November 2025: Expanded Fluidstack agreement by additional $830M, bringing total Barber Lake commitment to 300 MW</w:t>
      </w:r>
    </w:p>
    <w:p>
      <w:pPr>
        <w:pStyle w:val="ListParagraph"/>
        <w:numPr>
          <w:ilvl w:val="0"/>
          <w:numId w:val="3"/>
        </w:numPr>
      </w:pPr>
      <w:r>
        <w:rPr>
          <w:sz w:val="22"/>
          <w:szCs w:val="22"/>
        </w:rPr>
        <w:t xml:space="preserve">November 2025: Acquired 95% stake in 1 GW Colchis HPC development in West Texas, targeted for 2028 energization</w:t>
      </w:r>
    </w:p>
    <w:p>
      <w:pPr>
        <w:pStyle w:val="ListParagraph"/>
        <w:numPr>
          <w:ilvl w:val="0"/>
          <w:numId w:val="3"/>
        </w:numPr>
      </w:pPr>
      <w:r>
        <w:rPr>
          <w:sz w:val="22"/>
          <w:szCs w:val="22"/>
        </w:rPr>
        <w:t xml:space="preserve">December 2025: Acquired 200 MW Ulysses site in Ohio - first expansion outside Texas into PJM market</w:t>
      </w:r>
    </w:p>
    <w:p>
      <w:r>
        <w:br w:type="page"/>
      </w:r>
    </w:p>
    <w:p>
      <w:pPr>
        <w:pStyle w:val="Heading1"/>
      </w:pPr>
      <w:r>
        <w:t xml:space="preserve">Industry Analysis: The AI Infrastructure Opportunity</w:t>
      </w:r>
    </w:p>
    <w:p>
      <w:pPr>
        <w:pStyle w:val="Heading2"/>
      </w:pPr>
      <w:r>
        <w:t xml:space="preserve">Market Size and Growth Projections</w:t>
      </w:r>
    </w:p>
    <w:p>
      <w:pPr>
        <w:spacing w:after="200"/>
      </w:pPr>
      <w:r>
        <w:rPr>
          <w:sz w:val="22"/>
          <w:szCs w:val="22"/>
        </w:rPr>
        <w:t xml:space="preserve">The artificial intelligence revolution is driving unprecedented demand for data center infrastructure. Multiple authoritative sources project explosive growth through 2030:</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500"/>
        <w:gridCol w:w="3500"/>
        <w:gridCol w:w="2360"/>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Metric</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Projection</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Source</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Global DC Capacity Growth</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103 GW to 200 GW by 2030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JLL</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US AI Data Center Capacity</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 GW to 90+ GW by 2030 (22% CAGR)</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McKinsey</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Total Infrastructure Investment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$6.7 trillion by 2030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McKinsey</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Data Center Power Demand</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+165% by 2030 vs 2023</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Goldman Sachs</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AI Share of DC Capacity</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50% by 2030 (vs 25% in 2025)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JLL</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Hyperscaler CapEx (2024-2026)</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 trillion combined</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JLL</w:t>
            </w:r>
          </w:p>
        </w:tc>
      </w:tr>
    </w:tbl>
    <w:p>
      <w:pPr>
        <w:pStyle w:val="Heading2"/>
      </w:pPr>
      <w:r>
        <w:t xml:space="preserve">The Power Constraint Bottleneck</w:t>
      </w:r>
    </w:p>
    <w:p>
      <w:pPr>
        <w:spacing w:after="200"/>
      </w:pPr>
      <w:r>
        <w:rPr>
          <w:sz w:val="22"/>
          <w:szCs w:val="22"/>
        </w:rPr>
        <w:t xml:space="preserve">The most critical constraint on AI infrastructure growth is not capital or demand—it is power availability. Grid connection delays now exceed four years in primary markets. This creates significant competitive advantage for companies like CIFR that have already secured power interconnection agreements:</w:t>
      </w:r>
    </w:p>
    <w:p>
      <w:pPr>
        <w:pStyle w:val="ListParagraph"/>
        <w:numPr>
          <w:ilvl w:val="0"/>
          <w:numId w:val="2"/>
        </w:numPr>
      </w:pPr>
      <w:r>
        <w:rPr>
          <w:sz w:val="22"/>
          <w:szCs w:val="22"/>
        </w:rPr>
        <w:t xml:space="preserve">Northern Virginia (largest US data center hub): Experiencing severe grid congestion and land scarcity</w:t>
      </w:r>
    </w:p>
    <w:p>
      <w:pPr>
        <w:pStyle w:val="ListParagraph"/>
        <w:numPr>
          <w:ilvl w:val="0"/>
          <w:numId w:val="2"/>
        </w:numPr>
      </w:pPr>
      <w:r>
        <w:rPr>
          <w:sz w:val="22"/>
          <w:szCs w:val="22"/>
        </w:rPr>
        <w:t xml:space="preserve">Texas (ERCOT): Emerging as preferred location due to abundant land, power, and favorable regulatory environment</w:t>
      </w:r>
    </w:p>
    <w:p>
      <w:pPr>
        <w:pStyle w:val="ListParagraph"/>
        <w:numPr>
          <w:ilvl w:val="0"/>
          <w:numId w:val="2"/>
        </w:numPr>
      </w:pPr>
      <w:r>
        <w:rPr>
          <w:sz w:val="22"/>
          <w:szCs w:val="22"/>
        </w:rPr>
        <w:t xml:space="preserve">PJM Interconnection: Capacity prices surged from $30/MW-day to $329/MW-day, reflecting acute power scarcity</w:t>
      </w:r>
    </w:p>
    <w:p>
      <w:pPr>
        <w:pStyle w:val="Heading2"/>
      </w:pPr>
      <w:r>
        <w:t xml:space="preserve">Competitive Landscape</w:t>
      </w:r>
    </w:p>
    <w:p>
      <w:pPr>
        <w:spacing w:after="200"/>
      </w:pPr>
      <w:r>
        <w:rPr>
          <w:sz w:val="22"/>
          <w:szCs w:val="22"/>
        </w:rPr>
        <w:t xml:space="preserve">The AI infrastructure market features diverse business models with distinct risk/reward profiles: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000"/>
        <w:gridCol w:w="2500"/>
        <w:gridCol w:w="2500"/>
        <w:gridCol w:w="2360"/>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Company</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Model</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Key Contract</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Market Cap</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CoreWeave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GPU Cloud (owns GPUs)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$22.4B OpenAI, $14.2B Meta</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$50B</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IREN</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GPU Cloud (owns GPUs)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$9.7B Microsoft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$16.5B</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CIFR</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Colocation (tenant GPUs)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$5.5B AWS, $3.8B Google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$7.2B</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TeraWulf</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Colocation (Fluidstack JV)</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$9.5B / 25-year JV</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$3.5B</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Equinix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Traditional Colo REIT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Diversified enterprise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$82B</w:t>
            </w:r>
          </w:p>
        </w:tc>
      </w:tr>
    </w:tbl>
    <w:p>
      <w:r>
        <w:br w:type="page"/>
      </w:r>
    </w:p>
    <w:p>
      <w:pPr>
        <w:pStyle w:val="Heading1"/>
      </w:pPr>
      <w:r>
        <w:t xml:space="preserve">Business Model Analysis</w:t>
      </w:r>
    </w:p>
    <w:p>
      <w:pPr>
        <w:pStyle w:val="Heading2"/>
      </w:pPr>
      <w:r>
        <w:t xml:space="preserve">Colocation vs. GPU Cloud: A Critical Distinction</w:t>
      </w:r>
    </w:p>
    <w:p>
      <w:pPr>
        <w:spacing w:after="200"/>
      </w:pPr>
      <w:r>
        <w:rPr>
          <w:sz w:val="22"/>
          <w:szCs w:val="22"/>
        </w:rPr>
        <w:t xml:space="preserve">Understanding CIFR's business model is essential for accurate valuation. Unlike GPU cloud providers (CoreWeave, IREN), Cipher operates a colocation/hosting model where tenants bring and own their own computing equipment. This distinction has profound implications: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000"/>
        <w:gridCol w:w="3180"/>
        <w:gridCol w:w="3180"/>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Factor</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CIFR (Colocation)</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IREN (GPU Cloud)</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GPU Ownership</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Tenant owns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IREN owns</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CapEx per MW</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$3-5M (shell + power)</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$25-30M (including GPUs)</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Revenue per MW (annual)</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$3-4M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$8-10M</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EBITDA Margin Target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70-76%</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55-65%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Technology Risk</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Low (no GPU obsolescence)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High (3-5 year GPU lifecycle)</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Contract Duration</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10-15 years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3-5 years</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Customer Risk</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Moderate (AWS, Google credit)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High (62% Microsoft)</w:t>
            </w:r>
          </w:p>
        </w:tc>
      </w:tr>
    </w:tbl>
    <w:p>
      <w:pPr>
        <w:pStyle w:val="Heading2"/>
      </w:pPr>
      <w:r>
        <w:t xml:space="preserve">Revenue Visibility and Contract Structure</w:t>
      </w:r>
    </w:p>
    <w:p>
      <w:pPr>
        <w:spacing w:after="200"/>
      </w:pPr>
      <w:r>
        <w:rPr>
          <w:sz w:val="22"/>
          <w:szCs w:val="22"/>
        </w:rPr>
        <w:t xml:space="preserve">CIFR's contracted revenue base provides exceptional visibility compared to typical mining operations: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1800"/>
        <w:gridCol w:w="1800"/>
        <w:gridCol w:w="1800"/>
        <w:gridCol w:w="1460"/>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Contract</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Total Value</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Duration</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Annual</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MW</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AWS Lease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$5.5B</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 years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~$367M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300</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Fluidstack/Google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$3.83B</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10 years</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~$383M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300</w:t>
            </w:r>
          </w:p>
        </w:tc>
      </w:tr>
      <w:tr>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bCs/>
                <w:sz w:val="20"/>
                <w:szCs w:val="20"/>
              </w:rPr>
              <w:t xml:space="preserve">Total Contracted</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bCs/>
                <w:sz w:val="20"/>
                <w:szCs w:val="20"/>
              </w:rPr>
              <w:t xml:space="preserve">$9.33B</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12.5 yrs avg</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bCs/>
                <w:sz w:val="20"/>
                <w:szCs w:val="20"/>
              </w:rPr>
              <w:t xml:space="preserve">~$750M</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600</w:t>
            </w:r>
          </w:p>
        </w:tc>
      </w:tr>
    </w:tbl>
    <w:p>
      <w:pPr>
        <w:spacing w:before="200" w:after="200"/>
      </w:pPr>
      <w:r>
        <w:rPr>
          <w:sz w:val="22"/>
          <w:szCs w:val="22"/>
        </w:rPr>
        <w:t xml:space="preserve">Importantly, the Fluidstack agreement includes a $333M Google guarantee of lease obligations, providing additional credit support for project-level financing. Revenue recognition is expected to commence in H2 2026 as facilities are energized.</w:t>
      </w:r>
    </w:p>
    <w:p>
      <w:r>
        <w:br w:type="page"/>
      </w:r>
    </w:p>
    <w:p>
      <w:pPr>
        <w:pStyle w:val="Heading1"/>
      </w:pPr>
      <w:r>
        <w:t xml:space="preserve">Financial Projections: 2026-2030</w:t>
      </w:r>
    </w:p>
    <w:p>
      <w:pPr>
        <w:pStyle w:val="Heading2"/>
      </w:pPr>
      <w:r>
        <w:t xml:space="preserve">Key Assumptions</w:t>
      </w:r>
    </w:p>
    <w:p>
      <w:pPr>
        <w:spacing w:after="200"/>
      </w:pPr>
      <w:r>
        <w:rPr>
          <w:sz w:val="22"/>
          <w:szCs w:val="22"/>
        </w:rPr>
        <w:t xml:space="preserve">Our projections are built on conservative assumptions grounded in industry benchmarks and company guidance. We present three scenarios reflecting different execution outcomes: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000"/>
        <w:gridCol w:w="1786"/>
        <w:gridCol w:w="1787"/>
        <w:gridCol w:w="1787"/>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Assumption</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Bear</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Base</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Bull</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Operational Capacity by 2030 (MW)</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600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1,000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1,500</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Revenue per MW ($/M annual)</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$4.0</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EBITDA Margin</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72%</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76%</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D&amp;A as % of Revenue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12%</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10%</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Effective Tax Rate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Capex Needed ($B)</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$7.5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Equity Funding %</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Average Equity Raise Price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$35</w:t>
            </w:r>
          </w:p>
        </w:tc>
      </w:tr>
    </w:tbl>
    <w:p>
      <w:pPr>
        <w:pStyle w:val="Heading2"/>
      </w:pPr>
      <w:r>
        <w:t xml:space="preserve">2030 Financial Summary by Scenario</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000"/>
        <w:gridCol w:w="1786"/>
        <w:gridCol w:w="1787"/>
        <w:gridCol w:w="1787"/>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Metric</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Bear</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Base</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Bull</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Revenue ($M)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$1,800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$3,500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$6,000</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EBITDA ($M)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$1,170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$2,520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$4,560</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Net Income ($M)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$607</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$1,512</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$2,925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New Shares Issued (M)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54</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Fully Diluted Shares (M)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440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455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449</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EPS ($)</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$1.38</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$3.32</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$6.51</w:t>
            </w:r>
          </w:p>
        </w:tc>
      </w:tr>
    </w:tbl>
    <w:p>
      <w:pPr>
        <w:pStyle w:val="Heading2"/>
      </w:pPr>
      <w:r>
        <w:t xml:space="preserve">Assumption Rationale</w:t>
      </w:r>
    </w:p>
    <w:p>
      <w:pPr>
        <w:pStyle w:val="ListParagraph"/>
        <w:numPr>
          <w:ilvl w:val="0"/>
          <w:numId w:val="2"/>
        </w:numPr>
      </w:pPr>
      <w:r>
        <w:rPr>
          <w:sz w:val="22"/>
          <w:szCs w:val="22"/>
        </w:rPr>
        <w:t xml:space="preserve">Revenue per MW: Industry wholesale colocation rates range $2-4M/MW. CIFR's premium hyperscaler contracts support $3-4M.</w:t>
      </w:r>
    </w:p>
    <w:p>
      <w:pPr>
        <w:pStyle w:val="ListParagraph"/>
        <w:numPr>
          <w:ilvl w:val="0"/>
          <w:numId w:val="2"/>
        </w:numPr>
      </w:pPr>
      <w:r>
        <w:rPr>
          <w:sz w:val="22"/>
          <w:szCs w:val="22"/>
        </w:rPr>
        <w:t xml:space="preserve">EBITDA Margins: Equinix achieves ~50% adjusted EBITDA margins. CIFR targets higher due to single-tenant wholesale model with lower operating complexity.</w:t>
      </w:r>
    </w:p>
    <w:p>
      <w:pPr>
        <w:pStyle w:val="ListParagraph"/>
        <w:numPr>
          <w:ilvl w:val="0"/>
          <w:numId w:val="2"/>
        </w:numPr>
      </w:pPr>
      <w:r>
        <w:rPr>
          <w:sz w:val="22"/>
          <w:szCs w:val="22"/>
        </w:rPr>
        <w:t xml:space="preserve">Dilution: Based on $5M/MW shell construction cost plus working capital needs. 30% equity / 70% debt-prepayment mix is consistent with peers.</w:t>
      </w:r>
    </w:p>
    <w:p>
      <w:r>
        <w:br w:type="page"/>
      </w:r>
    </w:p>
    <w:p>
      <w:pPr>
        <w:pStyle w:val="Heading1"/>
      </w:pPr>
      <w:r>
        <w:t xml:space="preserve">Valuation Analysis</w:t>
      </w:r>
    </w:p>
    <w:p>
      <w:pPr>
        <w:pStyle w:val="Heading2"/>
      </w:pPr>
      <w:r>
        <w:t xml:space="preserve">Valuation Methodology</w:t>
      </w:r>
    </w:p>
    <w:p>
      <w:pPr>
        <w:spacing w:after="200"/>
      </w:pPr>
      <w:r>
        <w:rPr>
          <w:sz w:val="22"/>
          <w:szCs w:val="22"/>
        </w:rPr>
        <w:t xml:space="preserve">We employ multiple valuation approaches to triangulate a fair value range. Given CIFR's transition from mining to infrastructure, traditional crypto mining multiples are inappropriate. Instead, we benchmark against data center infrastructure peers: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000"/>
        <w:gridCol w:w="2000"/>
        <w:gridCol w:w="2000"/>
        <w:gridCol w:w="2360"/>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Comparable</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EV/EBITDA</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P/E</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Notes</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Equinix (EQIX)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22-25x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45-50x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Premium colo REIT</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Digital Realty (DLR)</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18-22x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35-40x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Wholesale focus</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CoreWeave (CRWV)</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12-15x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N/M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GPU cloud, high growth</w:t>
            </w:r>
          </w:p>
        </w:tc>
      </w:tr>
      <w:tr>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bCs/>
                <w:sz w:val="20"/>
                <w:szCs w:val="20"/>
              </w:rPr>
              <w:t xml:space="preserve">Applied for CIFR</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12-18x</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15-25x</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Growth + execution risk</w:t>
            </w:r>
          </w:p>
        </w:tc>
      </w:tr>
    </w:tbl>
    <w:p>
      <w:pPr>
        <w:pStyle w:val="Heading2"/>
      </w:pPr>
      <w:r>
        <w:t xml:space="preserve">Price Target Derivation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000"/>
        <w:gridCol w:w="1786"/>
        <w:gridCol w:w="1787"/>
        <w:gridCol w:w="1787"/>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Valuation Method</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Bear</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Base</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Bull</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P/E Multiple Applied</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20x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25x</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EV/EBITDA Multiple Applied</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12x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18x</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Price (P/E Method)</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$21</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$66</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$163</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Price (EV/EBITDA Method)</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$50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$81</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$145</w:t>
            </w:r>
          </w:p>
        </w:tc>
      </w:tr>
      <w:tr>
        <w:tc>
          <w:tcPr>
            <w:tcBorders>
              <w:top w:val="single" w:color="CCCCCC" w:sz="1"/>
              <w:left w:val="single" w:color="CCCCCC" w:sz="1"/>
              <w:bottom w:val="single" w:color="CCCCCC" w:sz="1"/>
              <w:right w:val="single" w:color="CCCCCC" w:sz="1"/>
            </w:tcBorders>
            <w:shd w:fill="C6EFCE" w:val="clear"/>
            <w:tcMar>
              <w:top w:type="dxa" w:w="60"/>
              <w:left w:type="dxa" w:w="100"/>
              <w:bottom w:type="dxa" w:w="60"/>
              <w:right w:type="dxa" w:w="100"/>
            </w:tcMar>
          </w:tcPr>
          <w:p>
            <w:pPr>
              <w:jc w:val="left"/>
            </w:pPr>
            <w:r>
              <w:rPr>
                <w:rFonts w:ascii="Arial" w:cs="Arial" w:eastAsia="Arial" w:hAnsi="Arial"/>
                <w:b/>
                <w:bCs/>
                <w:sz w:val="20"/>
                <w:szCs w:val="20"/>
              </w:rPr>
              <w:t xml:space="preserve">Blended Target Price</w:t>
            </w:r>
          </w:p>
        </w:tc>
        <w:tc>
          <w:tcPr>
            <w:tcBorders>
              <w:top w:val="single" w:color="CCCCCC" w:sz="1"/>
              <w:left w:val="single" w:color="CCCCCC" w:sz="1"/>
              <w:bottom w:val="single" w:color="CCCCCC" w:sz="1"/>
              <w:right w:val="single" w:color="CCCCCC" w:sz="1"/>
            </w:tcBorders>
            <w:shd w:fill="C6EFCE" w:val="clear"/>
            <w:tcMar>
              <w:top w:type="dxa" w:w="60"/>
              <w:left w:type="dxa" w:w="100"/>
              <w:bottom w:type="dxa" w:w="60"/>
              <w:right w:type="dxa" w:w="100"/>
            </w:tcMar>
          </w:tcPr>
          <w:p>
            <w:pPr>
              <w:jc w:val="left"/>
            </w:pPr>
            <w:r>
              <w:rPr>
                <w:rFonts w:ascii="Arial" w:cs="Arial" w:eastAsia="Arial" w:hAnsi="Arial"/>
                <w:b/>
                <w:bCs/>
                <w:sz w:val="20"/>
                <w:szCs w:val="20"/>
              </w:rPr>
              <w:t xml:space="preserve">$35-45</w:t>
            </w:r>
          </w:p>
        </w:tc>
        <w:tc>
          <w:tcPr>
            <w:tcBorders>
              <w:top w:val="single" w:color="CCCCCC" w:sz="1"/>
              <w:left w:val="single" w:color="CCCCCC" w:sz="1"/>
              <w:bottom w:val="single" w:color="CCCCCC" w:sz="1"/>
              <w:right w:val="single" w:color="CCCCCC" w:sz="1"/>
            </w:tcBorders>
            <w:shd w:fill="C6EFCE" w:val="clear"/>
            <w:tcMar>
              <w:top w:type="dxa" w:w="60"/>
              <w:left w:type="dxa" w:w="100"/>
              <w:bottom w:type="dxa" w:w="60"/>
              <w:right w:type="dxa" w:w="100"/>
            </w:tcMar>
          </w:tcPr>
          <w:p>
            <w:pPr>
              <w:jc w:val="left"/>
            </w:pPr>
            <w:r>
              <w:rPr>
                <w:rFonts w:ascii="Arial" w:cs="Arial" w:eastAsia="Arial" w:hAnsi="Arial"/>
                <w:b/>
                <w:bCs/>
                <w:sz w:val="20"/>
                <w:szCs w:val="20"/>
              </w:rPr>
              <w:t xml:space="preserve">$60-80</w:t>
            </w:r>
          </w:p>
        </w:tc>
        <w:tc>
          <w:tcPr>
            <w:tcBorders>
              <w:top w:val="single" w:color="CCCCCC" w:sz="1"/>
              <w:left w:val="single" w:color="CCCCCC" w:sz="1"/>
              <w:bottom w:val="single" w:color="CCCCCC" w:sz="1"/>
              <w:right w:val="single" w:color="CCCCCC" w:sz="1"/>
            </w:tcBorders>
            <w:shd w:fill="C6EFCE" w:val="clear"/>
            <w:tcMar>
              <w:top w:type="dxa" w:w="60"/>
              <w:left w:type="dxa" w:w="100"/>
              <w:bottom w:type="dxa" w:w="60"/>
              <w:right w:type="dxa" w:w="100"/>
            </w:tcMar>
          </w:tcPr>
          <w:p>
            <w:pPr>
              <w:jc w:val="left"/>
            </w:pPr>
            <w:r>
              <w:rPr>
                <w:rFonts w:ascii="Arial" w:cs="Arial" w:eastAsia="Arial" w:hAnsi="Arial"/>
                <w:b/>
                <w:bCs/>
                <w:sz w:val="20"/>
                <w:szCs w:val="20"/>
              </w:rPr>
              <w:t xml:space="preserve">$120-150</w:t>
            </w:r>
          </w:p>
        </w:tc>
      </w:tr>
    </w:tbl>
    <w:p>
      <w:pPr>
        <w:pStyle w:val="Heading2"/>
      </w:pPr>
      <w:r>
        <w:t xml:space="preserve">Addressing the $200+ Bull Case</w:t>
      </w:r>
    </w:p>
    <w:p>
      <w:pPr>
        <w:spacing w:after="200"/>
      </w:pPr>
      <w:r>
        <w:rPr>
          <w:sz w:val="22"/>
          <w:szCs w:val="22"/>
        </w:rPr>
        <w:t xml:space="preserve">Some market commentary suggests CIFR could reach $200+ per share by 2030. While mathematically possible, this scenario requires assumptions we consider overly optimistic:</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500"/>
        <w:gridCol w:w="2930"/>
        <w:gridCol w:w="2930"/>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Assumption</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$200+ Case</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Our Assessment</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Revenue per MW</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$8M (bare metal)</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$3-4M realistic for colo</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EBITDA Margin</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80%</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70-76% more achievable</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P/E Multiple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30-40x</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15-25x appropriate</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Capacity Deployed</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 GW</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1.0 GW base case</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bCs/>
                <w:sz w:val="20"/>
                <w:szCs w:val="20"/>
              </w:rPr>
              <w:t xml:space="preserve">Share Dilution</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Minimal</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15-20% dilution likely</w:t>
            </w:r>
          </w:p>
        </w:tc>
      </w:tr>
    </w:tbl>
    <w:p>
      <w:pPr>
        <w:spacing w:before="200" w:after="200"/>
      </w:pPr>
      <w:r>
        <w:rPr>
          <w:i/>
          <w:iCs/>
          <w:sz w:val="22"/>
          <w:szCs w:val="22"/>
        </w:rPr>
        <w:t xml:space="preserve">The $200+ scenario confuses CIFR's colocation model with higher-revenue GPU cloud models like IREN or CoreWeave. CIFR deliberately chose a lower-risk, lower-revenue model. Applying GPU cloud unit economics to a colocation business is a category error.</w:t>
      </w:r>
    </w:p>
    <w:p>
      <w:r>
        <w:br w:type="page"/>
      </w:r>
    </w:p>
    <w:p>
      <w:pPr>
        <w:pStyle w:val="Heading1"/>
      </w:pPr>
      <w:r>
        <w:t xml:space="preserve">Risk Analysis</w:t>
      </w:r>
    </w:p>
    <w:p>
      <w:pPr>
        <w:pStyle w:val="Heading2"/>
      </w:pPr>
      <w:r>
        <w:t xml:space="preserve">Execution Risk (HIGH)</w:t>
      </w:r>
    </w:p>
    <w:p>
      <w:pPr>
        <w:spacing w:after="200"/>
      </w:pPr>
      <w:r>
        <w:rPr>
          <w:sz w:val="22"/>
          <w:szCs w:val="22"/>
        </w:rPr>
        <w:t xml:space="preserve">CIFR must successfully construct and energize multiple large-scale facilities on aggressive timelines. Key milestones:</w:t>
      </w:r>
    </w:p>
    <w:p>
      <w:pPr>
        <w:pStyle w:val="ListParagraph"/>
        <w:numPr>
          <w:ilvl w:val="0"/>
          <w:numId w:val="2"/>
        </w:numPr>
      </w:pPr>
      <w:r>
        <w:rPr>
          <w:sz w:val="22"/>
          <w:szCs w:val="22"/>
        </w:rPr>
        <w:t xml:space="preserve">Barber Lake (300 MW): Construction underway, targeting late 2026 delivery to Fluidstack</w:t>
      </w:r>
    </w:p>
    <w:p>
      <w:pPr>
        <w:pStyle w:val="ListParagraph"/>
        <w:numPr>
          <w:ilvl w:val="0"/>
          <w:numId w:val="2"/>
        </w:numPr>
      </w:pPr>
      <w:r>
        <w:rPr>
          <w:sz w:val="22"/>
          <w:szCs w:val="22"/>
        </w:rPr>
        <w:t xml:space="preserve">AWS Site (300 MW): July 2026 capacity delivery commitment under $5.5B lease</w:t>
      </w:r>
    </w:p>
    <w:p>
      <w:pPr>
        <w:pStyle w:val="ListParagraph"/>
        <w:numPr>
          <w:ilvl w:val="0"/>
          <w:numId w:val="2"/>
        </w:numPr>
      </w:pPr>
      <w:r>
        <w:rPr>
          <w:sz w:val="22"/>
          <w:szCs w:val="22"/>
        </w:rPr>
        <w:t xml:space="preserve">Colchis (1 GW): 2028 energization target; Direct Connect Agreement with AEP executed</w:t>
      </w:r>
    </w:p>
    <w:p>
      <w:pPr>
        <w:pStyle w:val="ListParagraph"/>
        <w:numPr>
          <w:ilvl w:val="0"/>
          <w:numId w:val="2"/>
        </w:numPr>
      </w:pPr>
      <w:r>
        <w:rPr>
          <w:sz w:val="22"/>
          <w:szCs w:val="22"/>
        </w:rPr>
        <w:t xml:space="preserve">Ulysses, Ohio (200 MW): Q4 2027 target; first non-Texas site</w:t>
      </w:r>
    </w:p>
    <w:p>
      <w:pPr>
        <w:spacing w:after="200"/>
      </w:pPr>
      <w:r>
        <w:rPr>
          <w:sz w:val="22"/>
          <w:szCs w:val="22"/>
        </w:rPr>
        <w:t xml:space="preserve">Delays beyond H2 2026 for initial AI revenue recognition could trigger significant stock declines as the market reassesses timeline assumptions.</w:t>
      </w:r>
    </w:p>
    <w:p>
      <w:pPr>
        <w:pStyle w:val="Heading2"/>
      </w:pPr>
      <w:r>
        <w:t xml:space="preserve">Dilution Risk (MODERATE-HIGH)</w:t>
      </w:r>
    </w:p>
    <w:p>
      <w:pPr>
        <w:spacing w:after="200"/>
      </w:pPr>
      <w:r>
        <w:rPr>
          <w:sz w:val="22"/>
          <w:szCs w:val="22"/>
        </w:rPr>
        <w:t xml:space="preserve">Building 1+ GW of data center capacity requires substantial capital. Our base case assumes:</w:t>
      </w:r>
    </w:p>
    <w:p>
      <w:pPr>
        <w:pStyle w:val="ListParagraph"/>
        <w:numPr>
          <w:ilvl w:val="0"/>
          <w:numId w:val="2"/>
        </w:numPr>
      </w:pPr>
      <w:r>
        <w:rPr>
          <w:sz w:val="22"/>
          <w:szCs w:val="22"/>
        </w:rPr>
        <w:t xml:space="preserve">$5B total capex requirement through 2030</w:t>
      </w:r>
    </w:p>
    <w:p>
      <w:pPr>
        <w:pStyle w:val="ListParagraph"/>
        <w:numPr>
          <w:ilvl w:val="0"/>
          <w:numId w:val="2"/>
        </w:numPr>
      </w:pPr>
      <w:r>
        <w:rPr>
          <w:sz w:val="22"/>
          <w:szCs w:val="22"/>
        </w:rPr>
        <w:t xml:space="preserve">30% equity funding ($1.5B) at average $25/share = 60M new shares</w:t>
      </w:r>
    </w:p>
    <w:p>
      <w:pPr>
        <w:pStyle w:val="ListParagraph"/>
        <w:numPr>
          <w:ilvl w:val="0"/>
          <w:numId w:val="2"/>
        </w:numPr>
      </w:pPr>
      <w:r>
        <w:rPr>
          <w:sz w:val="22"/>
          <w:szCs w:val="22"/>
        </w:rPr>
        <w:t xml:space="preserve">Fully diluted share count increasing from 395M to ~455M (15% dilution)</w:t>
      </w:r>
    </w:p>
    <w:p>
      <w:pPr>
        <w:spacing w:after="200"/>
      </w:pPr>
      <w:r>
        <w:rPr>
          <w:sz w:val="22"/>
          <w:szCs w:val="22"/>
        </w:rPr>
        <w:t xml:space="preserve">Additionally, the $1.3B in 0% convertible notes mature in 2031 and could convert at prices that create further dilution. The key question is whether CIFR can raise capital at progressively higher prices as it de-risks through execution.</w:t>
      </w:r>
    </w:p>
    <w:p>
      <w:pPr>
        <w:pStyle w:val="Heading2"/>
      </w:pPr>
      <w:r>
        <w:t xml:space="preserve">Competitive Risk (MODERATE)</w:t>
      </w:r>
    </w:p>
    <w:p>
      <w:pPr>
        <w:pStyle w:val="ListParagraph"/>
        <w:numPr>
          <w:ilvl w:val="0"/>
          <w:numId w:val="2"/>
        </w:numPr>
      </w:pPr>
      <w:r>
        <w:rPr>
          <w:sz w:val="22"/>
          <w:szCs w:val="22"/>
        </w:rPr>
        <w:t xml:space="preserve">Every major Bitcoin miner (IREN, TeraWulf, MARA, Hut 8) is pursuing similar AI pivots</w:t>
      </w:r>
    </w:p>
    <w:p>
      <w:pPr>
        <w:pStyle w:val="ListParagraph"/>
        <w:numPr>
          <w:ilvl w:val="0"/>
          <w:numId w:val="2"/>
        </w:numPr>
      </w:pPr>
      <w:r>
        <w:rPr>
          <w:sz w:val="22"/>
          <w:szCs w:val="22"/>
        </w:rPr>
        <w:t xml:space="preserve">Hyperscalers may vertically integrate, reducing demand for third-party hosting</w:t>
      </w:r>
    </w:p>
    <w:p>
      <w:pPr>
        <w:pStyle w:val="ListParagraph"/>
        <w:numPr>
          <w:ilvl w:val="0"/>
          <w:numId w:val="2"/>
        </w:numPr>
      </w:pPr>
      <w:r>
        <w:rPr>
          <w:sz w:val="22"/>
          <w:szCs w:val="22"/>
        </w:rPr>
        <w:t xml:space="preserve">Traditional data center REITs (Equinix, Digital Realty) have deeper pockets and relationships</w:t>
      </w:r>
    </w:p>
    <w:p>
      <w:pPr>
        <w:pStyle w:val="Heading2"/>
      </w:pPr>
      <w:r>
        <w:t xml:space="preserve">Bitcoin Exposure Risk (MODERATE)</w:t>
      </w:r>
    </w:p>
    <w:p>
      <w:pPr>
        <w:spacing w:after="200"/>
      </w:pPr>
      <w:r>
        <w:rPr>
          <w:sz w:val="22"/>
          <w:szCs w:val="22"/>
        </w:rPr>
        <w:t xml:space="preserve">CIFR's legacy mining operations remain a significant revenue contributor (~60% of current revenue) and will continue until AI contracts ramp. Bitcoin price volatility directly impacts near-term earnings and cash flow available for investment.</w:t>
      </w:r>
    </w:p>
    <w:p>
      <w:r>
        <w:br w:type="page"/>
      </w:r>
    </w:p>
    <w:p>
      <w:pPr>
        <w:pStyle w:val="Heading1"/>
      </w:pPr>
      <w:r>
        <w:t xml:space="preserve">Investment Recommendation</w:t>
      </w:r>
    </w:p>
    <w:p>
      <w:pPr>
        <w:pStyle w:val="Heading2"/>
      </w:pPr>
      <w:r>
        <w:t xml:space="preserve">Rating: SPECULATIVE BUY</w:t>
      </w:r>
    </w:p>
    <w:p>
      <w:pPr>
        <w:spacing w:after="200"/>
      </w:pPr>
      <w:r>
        <w:rPr>
          <w:sz w:val="22"/>
          <w:szCs w:val="22"/>
        </w:rPr>
        <w:t xml:space="preserve">We initiate coverage of Cipher Mining with a SPECULATIVE BUY rating and a 2030 price target range of $60-80 (base case). This represents approximately 270-340% upside from current levels, equating to a 30-35% annualized return.</w:t>
      </w:r>
    </w:p>
    <w:p>
      <w:pPr>
        <w:pStyle w:val="Heading2"/>
      </w:pPr>
      <w:r>
        <w:t xml:space="preserve">Investment Rationale</w:t>
      </w:r>
    </w:p>
    <w:p>
      <w:pPr>
        <w:pStyle w:val="ListParagraph"/>
        <w:numPr>
          <w:ilvl w:val="0"/>
          <w:numId w:val="3"/>
        </w:numPr>
      </w:pPr>
      <w:r>
        <w:rPr>
          <w:sz w:val="22"/>
          <w:szCs w:val="22"/>
        </w:rPr>
        <w:t xml:space="preserve">Contracted Cash Flows: $8.5B in signed hyperscaler agreements with AWS and Google/Fluidstack provides exceptional revenue visibility rarely seen in the mining sector.</w:t>
      </w:r>
    </w:p>
    <w:p>
      <w:pPr>
        <w:pStyle w:val="ListParagraph"/>
        <w:numPr>
          <w:ilvl w:val="0"/>
          <w:numId w:val="3"/>
        </w:numPr>
      </w:pPr>
      <w:r>
        <w:rPr>
          <w:sz w:val="22"/>
          <w:szCs w:val="22"/>
        </w:rPr>
        <w:t xml:space="preserve">Industry Tailwinds: AI data center demand is experiencing a structural growth phase with 20%+ CAGRs projected through 2030. Power scarcity creates barriers to entry.</w:t>
      </w:r>
    </w:p>
    <w:p>
      <w:pPr>
        <w:pStyle w:val="ListParagraph"/>
        <w:numPr>
          <w:ilvl w:val="0"/>
          <w:numId w:val="3"/>
        </w:numPr>
      </w:pPr>
      <w:r>
        <w:rPr>
          <w:sz w:val="22"/>
          <w:szCs w:val="22"/>
        </w:rPr>
        <w:t xml:space="preserve">Business Model Arbitrage: CIFR trades at ~$7B enterprise value despite having $8.5B in contracted revenue, suggesting the market is discounting execution risk heavily.</w:t>
      </w:r>
    </w:p>
    <w:p>
      <w:pPr>
        <w:pStyle w:val="ListParagraph"/>
        <w:numPr>
          <w:ilvl w:val="0"/>
          <w:numId w:val="3"/>
        </w:numPr>
      </w:pPr>
      <w:r>
        <w:rPr>
          <w:sz w:val="22"/>
          <w:szCs w:val="22"/>
        </w:rPr>
        <w:t xml:space="preserve">Risk-Adjusted Model: Colocation model avoids GPU obsolescence risk borne by peers like IREN and CoreWeave.</w:t>
      </w:r>
    </w:p>
    <w:p>
      <w:pPr>
        <w:pStyle w:val="Heading2"/>
      </w:pPr>
      <w:r>
        <w:t xml:space="preserve">Position Sizing Guidance</w:t>
      </w:r>
    </w:p>
    <w:p>
      <w:pPr>
        <w:spacing w:after="200"/>
      </w:pPr>
      <w:r>
        <w:rPr>
          <w:sz w:val="22"/>
          <w:szCs w:val="22"/>
        </w:rPr>
        <w:t xml:space="preserve">Given elevated execution risk and binary outcome potential, we recommend limiting position sizes to 2-5% of equity portfolios. This is not a core holding but rather a call option on successful AI infrastructure execution.</w:t>
      </w:r>
    </w:p>
    <w:p>
      <w:pPr>
        <w:pStyle w:val="Heading2"/>
      </w:pPr>
      <w:r>
        <w:t xml:space="preserve">Key Catalysts to Monitor</w:t>
      </w:r>
    </w:p>
    <w:p>
      <w:pPr>
        <w:pStyle w:val="ListParagraph"/>
        <w:numPr>
          <w:ilvl w:val="0"/>
          <w:numId w:val="2"/>
        </w:numPr>
      </w:pPr>
      <w:r>
        <w:rPr>
          <w:sz w:val="22"/>
          <w:szCs w:val="22"/>
        </w:rPr>
        <w:t xml:space="preserve">H2 2026: Initial AI revenue recognition from Barber Lake and AWS facilities</w:t>
      </w:r>
    </w:p>
    <w:p>
      <w:pPr>
        <w:pStyle w:val="ListParagraph"/>
        <w:numPr>
          <w:ilvl w:val="0"/>
          <w:numId w:val="2"/>
        </w:numPr>
      </w:pPr>
      <w:r>
        <w:rPr>
          <w:sz w:val="22"/>
          <w:szCs w:val="22"/>
        </w:rPr>
        <w:t xml:space="preserve">2027-2028: Colchis 1 GW site energization and potential additional hyperscaler contracts</w:t>
      </w:r>
    </w:p>
    <w:p>
      <w:pPr>
        <w:pStyle w:val="ListParagraph"/>
        <w:numPr>
          <w:ilvl w:val="0"/>
          <w:numId w:val="2"/>
        </w:numPr>
      </w:pPr>
      <w:r>
        <w:rPr>
          <w:sz w:val="22"/>
          <w:szCs w:val="22"/>
        </w:rPr>
        <w:t xml:space="preserve">Quarterly: Construction progress updates, new site acquisitions, and pipeline expansion</w:t>
      </w:r>
    </w:p>
    <w:p>
      <w:pPr>
        <w:pStyle w:val="ListParagraph"/>
        <w:numPr>
          <w:ilvl w:val="0"/>
          <w:numId w:val="2"/>
        </w:numPr>
      </w:pPr>
      <w:r>
        <w:rPr>
          <w:sz w:val="22"/>
          <w:szCs w:val="22"/>
        </w:rPr>
        <w:t xml:space="preserve">Capital Markets: Equity raise pricing as indicator of market confidence in execution</w:t>
      </w:r>
    </w:p>
    <w:p>
      <w:pPr>
        <w:spacing w:before="400"/>
      </w:pPr>
    </w:p>
    <w:p>
      <w:pPr>
        <w:jc w:val="center"/>
      </w:pPr>
      <w:r>
        <w:rPr>
          <w:b/>
          <w:bCs/>
          <w:color w:val="666666"/>
          <w:sz w:val="24"/>
          <w:szCs w:val="24"/>
        </w:rPr>
        <w:t xml:space="preserve">— END OF REPORT —</w:t>
      </w:r>
    </w:p>
    <w:p>
      <w:r>
        <w:br w:type="page"/>
      </w:r>
    </w:p>
    <w:p>
      <w:pPr>
        <w:pStyle w:val="Heading1"/>
      </w:pPr>
      <w:r>
        <w:t xml:space="preserve">Appendix: Analyst Coverage</w:t>
      </w:r>
    </w:p>
    <w:p>
      <w:pPr>
        <w:spacing w:after="200"/>
      </w:pPr>
      <w:r>
        <w:rPr>
          <w:sz w:val="22"/>
          <w:szCs w:val="22"/>
        </w:rPr>
        <w:t xml:space="preserve">Current Wall Street analyst consensus reflects growing optimism about CIFR's AI pivot, though price targets remain well below our 2030 projections, reflecting shorter time horizons: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000"/>
        <w:gridCol w:w="2000"/>
        <w:gridCol w:w="1500"/>
        <w:gridCol w:w="2860"/>
      </w:tblGrid>
      <w:tr>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Firm</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Rating</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Target</w:t>
            </w:r>
          </w:p>
        </w:tc>
        <w:tc>
          <w:tcPr>
            <w:tcBorders>
              <w:top w:val="single" w:color="CCCCCC" w:sz="1"/>
              <w:left w:val="single" w:color="CCCCCC" w:sz="1"/>
              <w:bottom w:val="single" w:color="CCCCCC" w:sz="1"/>
              <w:right w:val="single" w:color="CCCCCC" w:sz="1"/>
            </w:tcBorders>
            <w:shd w:fill="4472C4" w:val="clear"/>
            <w:tcMar>
              <w:top w:type="dxa" w:w="60"/>
              <w:left w:type="dxa" w:w="100"/>
              <w:bottom w:type="dxa" w:w="60"/>
              <w:right w:type="dxa" w:w="100"/>
            </w:tcMar>
          </w:tcPr>
          <w:p>
            <w:pPr>
              <w:jc w:val="left"/>
            </w:pPr>
            <w:r>
              <w:rPr>
                <w:rFonts w:ascii="Arial" w:cs="Arial" w:eastAsia="Arial" w:hAnsi="Arial"/>
                <w:b/>
                <w:bCs/>
                <w:sz w:val="20"/>
                <w:szCs w:val="20"/>
              </w:rPr>
              <w:t xml:space="preserve">Date</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Canaccord Genuity</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Buy</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$27</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Dec 2025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Macquarie</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Outperform</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$27</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Oct 2025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Compass Point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Buy</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$28</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Dec 2025</w:t>
            </w:r>
          </w:p>
        </w:tc>
      </w:tr>
      <w:tr>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Rosenblatt</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Buy</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$25</w:t>
            </w:r>
          </w:p>
        </w:tc>
        <w:tc>
          <w:tcPr>
            <w:tcBorders>
              <w:top w:val="single" w:color="CCCCCC" w:sz="1"/>
              <w:left w:val="single" w:color="CCCCCC" w:sz="1"/>
              <w:bottom w:val="single" w:color="CCCCCC" w:sz="1"/>
              <w:right w:val="single" w:color="CCCCCC" w:sz="1"/>
            </w:tcBorders>
            <w:tcMar>
              <w:top w:type="dxa" w:w="60"/>
              <w:left w:type="dxa" w:w="100"/>
              <w:bottom w:type="dxa" w:w="60"/>
              <w:right w:type="dxa" w:w="100"/>
            </w:tcMar>
          </w:tcPr>
          <w:p>
            <w:pPr>
              <w:jc w:val="left"/>
            </w:pPr>
            <w:r>
              <w:rPr>
                <w:rFonts w:ascii="Arial" w:cs="Arial" w:eastAsia="Arial" w:hAnsi="Arial"/>
                <w:b w:val="false"/>
                <w:bCs w:val="false"/>
                <w:sz w:val="20"/>
                <w:szCs w:val="20"/>
              </w:rPr>
              <w:t xml:space="preserve">Jan 2026</w:t>
            </w:r>
          </w:p>
        </w:tc>
      </w:tr>
      <w:tr>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bCs/>
                <w:sz w:val="20"/>
                <w:szCs w:val="20"/>
              </w:rPr>
              <w:t xml:space="preserve">Consensus (11 analysts)</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Strong Buy</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$25.60</w:t>
            </w:r>
          </w:p>
        </w:tc>
        <w:tc>
          <w:tcPr>
            <w:tcBorders>
              <w:top w:val="single" w:color="CCCCCC" w:sz="1"/>
              <w:left w:val="single" w:color="CCCCCC" w:sz="1"/>
              <w:bottom w:val="single" w:color="CCCCCC" w:sz="1"/>
              <w:right w:val="single" w:color="CCCCCC" w:sz="1"/>
            </w:tcBorders>
            <w:shd w:fill="E7E6E6" w:val="clear"/>
            <w:tcMar>
              <w:top w:type="dxa" w:w="60"/>
              <w:left w:type="dxa" w:w="100"/>
              <w:bottom w:type="dxa" w:w="60"/>
              <w:right w:type="dxa" w:w="100"/>
            </w:tcMar>
          </w:tcPr>
          <w:p>
            <w:pPr>
              <w:jc w:val="left"/>
            </w:pPr>
            <w:r>
              <w:rPr>
                <w:rFonts w:ascii="Arial" w:cs="Arial" w:eastAsia="Arial" w:hAnsi="Arial"/>
                <w:b w:val="false"/>
                <w:bCs w:val="false"/>
                <w:sz w:val="20"/>
                <w:szCs w:val="20"/>
              </w:rPr>
              <w:t xml:space="preserve">12-month target</w:t>
            </w:r>
          </w:p>
        </w:tc>
      </w:tr>
    </w:tbl>
    <w:p>
      <w:pPr>
        <w:pStyle w:val="Heading1"/>
      </w:pPr>
      <w:r>
        <w:t xml:space="preserve">Disclaimer</w:t>
      </w:r>
    </w:p>
    <w:p>
      <w:pPr>
        <w:spacing w:after="200"/>
      </w:pPr>
      <w:r>
        <w:rPr>
          <w:i/>
          <w:iCs/>
          <w:sz w:val="18"/>
          <w:szCs w:val="18"/>
        </w:rPr>
        <w:t xml:space="preserve">This report is provided for informational purposes only and does not constitute investment advice, a recommendation, or a solicitation to buy or sell any securities. The analysis contained herein is based on publicly available information and certain assumptions that may prove to be incorrect. Past performance is not indicative of future results. Investing in securities involves significant risk, including the potential loss of principal. Readers should conduct their own due diligence and consult with qualified financial advisors before making investment decisions. The author may hold positions in securities mentioned in this report.</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sz w:val="18"/>
        <w:szCs w:val="18"/>
      </w:rPr>
      <w:t xml:space="preserve">Page </w:t>
    </w:r>
    <w:r>
      <w:rPr>
        <w:sz w:val="18"/>
        <w:szCs w:val="18"/>
      </w:rPr>
      <w:fldChar w:fldCharType="begin"/>
      <w:instrText xml:space="preserve">PAGE</w:instrText>
      <w:fldChar w:fldCharType="separate"/>
      <w:fldChar w:fldCharType="end"/>
    </w:r>
    <w:r>
      <w:rPr>
        <w:color w:val="666666"/>
        <w:sz w:val="18"/>
        <w:szCs w:val="18"/>
      </w:rPr>
      <w:t xml:space="preserve"> | Confidential - For Informational Purposes Only</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i/>
        <w:iCs/>
        <w:color w:val="666666"/>
        <w:sz w:val="18"/>
        <w:szCs w:val="18"/>
      </w:rPr>
      <w:t xml:space="preserve">Cipher Mining Inc. (CIFR) | Equity Research Report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2E75B6"/>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2026-01-28T18:43:00.488Z</dcterms:created>
  <dcterms:modified xsi:type="dcterms:W3CDTF">2026-01-28T18:43:00.489Z</dcterms:modified>
</cp:coreProperties>
</file>

<file path=docProps/custom.xml><?xml version="1.0" encoding="utf-8"?>
<Properties xmlns="http://schemas.openxmlformats.org/officeDocument/2006/custom-properties" xmlns:vt="http://schemas.openxmlformats.org/officeDocument/2006/docPropsVTypes"/>
</file>